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>Using</w:t>
            </w:r>
            <w:r w:rsidR="004E5A11">
              <w:rPr>
                <w:sz w:val="20"/>
                <w:szCs w:val="20"/>
              </w:rPr>
              <w:t xml:space="preserve"> one </w:t>
            </w:r>
            <w:r w:rsidR="005557E0">
              <w:rPr>
                <w:sz w:val="20"/>
                <w:szCs w:val="20"/>
              </w:rPr>
              <w:t xml:space="preserve">apparatus equipped with an elevated master stream </w:t>
            </w:r>
            <w:r w:rsidR="00C21230">
              <w:rPr>
                <w:sz w:val="20"/>
                <w:szCs w:val="20"/>
              </w:rPr>
              <w:t>appliance</w:t>
            </w:r>
            <w:r w:rsidR="005557E0">
              <w:rPr>
                <w:sz w:val="20"/>
                <w:szCs w:val="20"/>
              </w:rPr>
              <w:t xml:space="preserve">, one engine, </w:t>
            </w:r>
            <w:r w:rsidR="00C21230">
              <w:rPr>
                <w:sz w:val="20"/>
                <w:szCs w:val="20"/>
              </w:rPr>
              <w:t>and four supply lines (two supply lines between the hydrant and the engine and two supply lines between the engine and the elevated master stream appliance intake).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</w:t>
            </w:r>
            <w:r w:rsidR="004B017B">
              <w:rPr>
                <w:sz w:val="20"/>
                <w:szCs w:val="20"/>
              </w:rPr>
              <w:t xml:space="preserve">all apparatus and assigned personnel away from the </w:t>
            </w:r>
            <w:r w:rsidR="00C21230">
              <w:rPr>
                <w:sz w:val="20"/>
                <w:szCs w:val="20"/>
              </w:rPr>
              <w:t>hydrant</w:t>
            </w:r>
            <w:r w:rsidR="004B017B">
              <w:rPr>
                <w:sz w:val="20"/>
                <w:szCs w:val="20"/>
              </w:rPr>
              <w:t xml:space="preserve">. When personnel are ready, give signal for </w:t>
            </w:r>
            <w:r w:rsidR="00C21230">
              <w:rPr>
                <w:sz w:val="20"/>
                <w:szCs w:val="20"/>
              </w:rPr>
              <w:t>the apparatus equipped with the elevated master stream appliance to proceed to simulated fire area and for the engine to proceed to the hydrant</w:t>
            </w:r>
            <w:r w:rsidR="004B017B">
              <w:rPr>
                <w:sz w:val="20"/>
                <w:szCs w:val="20"/>
              </w:rPr>
              <w:t>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</w:t>
            </w:r>
            <w:r w:rsidR="00663890">
              <w:rPr>
                <w:sz w:val="20"/>
                <w:szCs w:val="20"/>
              </w:rPr>
              <w:t xml:space="preserve">time </w:t>
            </w:r>
            <w:r w:rsidR="004B017B">
              <w:rPr>
                <w:sz w:val="20"/>
                <w:szCs w:val="20"/>
              </w:rPr>
              <w:t xml:space="preserve">when </w:t>
            </w:r>
            <w:r w:rsidR="00C21230">
              <w:rPr>
                <w:sz w:val="20"/>
                <w:szCs w:val="20"/>
              </w:rPr>
              <w:t>engine stops at the hydrant</w:t>
            </w:r>
            <w:r w:rsidR="000D433B">
              <w:rPr>
                <w:sz w:val="20"/>
                <w:szCs w:val="20"/>
              </w:rPr>
              <w:t>.</w:t>
            </w:r>
          </w:p>
          <w:p w:rsidR="00B64A25" w:rsidRPr="00B64A25" w:rsidRDefault="00B64A25" w:rsidP="00C21230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 time when </w:t>
            </w:r>
            <w:r w:rsidR="00663890" w:rsidRPr="00663890">
              <w:rPr>
                <w:sz w:val="20"/>
                <w:szCs w:val="20"/>
              </w:rPr>
              <w:t xml:space="preserve">the </w:t>
            </w:r>
            <w:r w:rsidR="005557E0">
              <w:rPr>
                <w:sz w:val="20"/>
                <w:szCs w:val="20"/>
              </w:rPr>
              <w:t xml:space="preserve">elevated </w:t>
            </w:r>
            <w:r w:rsidR="00663890" w:rsidRPr="00663890">
              <w:rPr>
                <w:sz w:val="20"/>
                <w:szCs w:val="20"/>
              </w:rPr>
              <w:t xml:space="preserve">master </w:t>
            </w:r>
            <w:r w:rsidR="00C21230">
              <w:rPr>
                <w:sz w:val="20"/>
                <w:szCs w:val="20"/>
              </w:rPr>
              <w:t>is</w:t>
            </w:r>
            <w:r w:rsidR="00663890" w:rsidRPr="00663890">
              <w:rPr>
                <w:sz w:val="20"/>
                <w:szCs w:val="20"/>
              </w:rPr>
              <w:t xml:space="preserve"> supplied properly</w:t>
            </w:r>
            <w:r>
              <w:rPr>
                <w:sz w:val="20"/>
                <w:szCs w:val="20"/>
              </w:rPr>
              <w:t>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C21230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Lay two supply lines from the hydrant a distance of 300 feet.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C21230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 apparatus and prepare elevated master stream appliance for service.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13488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C21230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Lay two 100 </w:t>
            </w:r>
            <w:proofErr w:type="spellStart"/>
            <w:r>
              <w:rPr>
                <w:b/>
                <w:bCs/>
                <w:sz w:val="20"/>
                <w:szCs w:val="20"/>
              </w:rPr>
              <w:t>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supply lines from the engine to the elevated master stream appliance intake.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21230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0" w:rsidRDefault="00C2123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0" w:rsidRDefault="00053B60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elevated master stream in operation and operate at proper pressures and flows.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0" w:rsidRDefault="00C2123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0" w:rsidRDefault="00C2123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0" w:rsidRDefault="00C2123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30" w:rsidRDefault="00C2123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5557E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C21230">
              <w:rPr>
                <w:b/>
                <w:bCs/>
                <w:sz w:val="20"/>
                <w:szCs w:val="20"/>
              </w:rPr>
              <w:t>5:0</w:t>
            </w:r>
            <w:r w:rsidR="005557E0">
              <w:rPr>
                <w:b/>
                <w:bCs/>
                <w:sz w:val="20"/>
                <w:szCs w:val="20"/>
              </w:rPr>
              <w:t>0</w:t>
            </w:r>
            <w:r w:rsidR="000D433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F6B6B" w:rsidRDefault="008F6B6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B17154" w:rsidRDefault="00053B60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43600" cy="116622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116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154" w:rsidSect="008F6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4EB" w:rsidRDefault="009274EB" w:rsidP="00E81FBD">
      <w:r>
        <w:separator/>
      </w:r>
    </w:p>
  </w:endnote>
  <w:endnote w:type="continuationSeparator" w:id="0">
    <w:p w:rsidR="009274EB" w:rsidRDefault="009274EB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6B" w:rsidRDefault="008F6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6B" w:rsidRPr="00D40506" w:rsidRDefault="008F6B6B" w:rsidP="00D4050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6B" w:rsidRDefault="008F6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4EB" w:rsidRDefault="009274EB" w:rsidP="00E81FBD">
      <w:r>
        <w:separator/>
      </w:r>
    </w:p>
  </w:footnote>
  <w:footnote w:type="continuationSeparator" w:id="0">
    <w:p w:rsidR="009274EB" w:rsidRDefault="009274EB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6B" w:rsidRDefault="008F6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BB" w:rsidRPr="008F6B6B" w:rsidRDefault="00DB52BB" w:rsidP="00DB52BB">
    <w:pPr>
      <w:pStyle w:val="Default"/>
      <w:jc w:val="center"/>
      <w:rPr>
        <w:b/>
        <w:bCs/>
      </w:rPr>
    </w:pPr>
    <w:r w:rsidRPr="008F6B6B">
      <w:rPr>
        <w:b/>
        <w:bCs/>
      </w:rPr>
      <w:t>NFPA 1410 Evolution #11 Forward Lay Using One Engine to Supply an Elevated Master Stream with Two Lines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6B" w:rsidRDefault="008F6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2190D"/>
    <w:rsid w:val="00053B60"/>
    <w:rsid w:val="00054E79"/>
    <w:rsid w:val="00077FA3"/>
    <w:rsid w:val="00091E0D"/>
    <w:rsid w:val="000A355D"/>
    <w:rsid w:val="000D433B"/>
    <w:rsid w:val="00113488"/>
    <w:rsid w:val="001360A1"/>
    <w:rsid w:val="001A69D4"/>
    <w:rsid w:val="001C4DA3"/>
    <w:rsid w:val="00203D94"/>
    <w:rsid w:val="00221204"/>
    <w:rsid w:val="00264880"/>
    <w:rsid w:val="002D469F"/>
    <w:rsid w:val="00366155"/>
    <w:rsid w:val="0039048C"/>
    <w:rsid w:val="003B0D0F"/>
    <w:rsid w:val="003B3285"/>
    <w:rsid w:val="003E2041"/>
    <w:rsid w:val="003F2718"/>
    <w:rsid w:val="00432B85"/>
    <w:rsid w:val="004655A1"/>
    <w:rsid w:val="004B017B"/>
    <w:rsid w:val="004B5ACE"/>
    <w:rsid w:val="004E5A11"/>
    <w:rsid w:val="00526C84"/>
    <w:rsid w:val="0054735F"/>
    <w:rsid w:val="00552224"/>
    <w:rsid w:val="005557E0"/>
    <w:rsid w:val="00562246"/>
    <w:rsid w:val="00597B17"/>
    <w:rsid w:val="005A4BE4"/>
    <w:rsid w:val="005B0368"/>
    <w:rsid w:val="005C3953"/>
    <w:rsid w:val="006045CE"/>
    <w:rsid w:val="006558B7"/>
    <w:rsid w:val="006571A1"/>
    <w:rsid w:val="00663890"/>
    <w:rsid w:val="00666DA8"/>
    <w:rsid w:val="006A6625"/>
    <w:rsid w:val="006C72C4"/>
    <w:rsid w:val="006D4748"/>
    <w:rsid w:val="006D4A58"/>
    <w:rsid w:val="007C769F"/>
    <w:rsid w:val="007E5BC2"/>
    <w:rsid w:val="00816B47"/>
    <w:rsid w:val="00824999"/>
    <w:rsid w:val="0088268F"/>
    <w:rsid w:val="008B1736"/>
    <w:rsid w:val="008F6B6B"/>
    <w:rsid w:val="009274EB"/>
    <w:rsid w:val="00964C0B"/>
    <w:rsid w:val="00A11CDE"/>
    <w:rsid w:val="00A30D6F"/>
    <w:rsid w:val="00A7684D"/>
    <w:rsid w:val="00A97F0C"/>
    <w:rsid w:val="00AF43CB"/>
    <w:rsid w:val="00B17154"/>
    <w:rsid w:val="00B64A25"/>
    <w:rsid w:val="00B65975"/>
    <w:rsid w:val="00BA653D"/>
    <w:rsid w:val="00C12153"/>
    <w:rsid w:val="00C21230"/>
    <w:rsid w:val="00C65414"/>
    <w:rsid w:val="00C846DD"/>
    <w:rsid w:val="00D02DFD"/>
    <w:rsid w:val="00D34509"/>
    <w:rsid w:val="00D40506"/>
    <w:rsid w:val="00D840CC"/>
    <w:rsid w:val="00DA4556"/>
    <w:rsid w:val="00DA5FF6"/>
    <w:rsid w:val="00DB52BB"/>
    <w:rsid w:val="00DF2B6C"/>
    <w:rsid w:val="00E03472"/>
    <w:rsid w:val="00E12CA6"/>
    <w:rsid w:val="00E4667D"/>
    <w:rsid w:val="00E81DA8"/>
    <w:rsid w:val="00E81FBD"/>
    <w:rsid w:val="00EC4139"/>
    <w:rsid w:val="00F048D1"/>
    <w:rsid w:val="00F066EC"/>
    <w:rsid w:val="00F90456"/>
    <w:rsid w:val="00F92B36"/>
    <w:rsid w:val="00FA33EA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1CE231"/>
  <w15:docId w15:val="{F8E9654E-5744-4127-A558-B3D901B7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7</cp:revision>
  <dcterms:created xsi:type="dcterms:W3CDTF">2015-12-08T20:37:00Z</dcterms:created>
  <dcterms:modified xsi:type="dcterms:W3CDTF">2018-02-28T20:03:00Z</dcterms:modified>
</cp:coreProperties>
</file>